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56" w:rsidRDefault="009F0FEF">
      <w:pPr>
        <w:pStyle w:val="a5"/>
        <w:jc w:val="center"/>
      </w:pPr>
      <w:r>
        <w:rPr>
          <w:rFonts w:ascii="標楷體" w:eastAsia="標楷體" w:hAnsi="標楷體"/>
          <w:b/>
          <w:color w:val="FF0000"/>
        </w:rPr>
        <w:t>臺北市私立強恕高級中學</w:t>
      </w:r>
      <w:r>
        <w:rPr>
          <w:rFonts w:ascii="標楷體" w:eastAsia="標楷體" w:hAnsi="標楷體"/>
          <w:b/>
        </w:rPr>
        <w:t>運動成績優良學生單獨招生規定</w:t>
      </w:r>
    </w:p>
    <w:p w:rsidR="003C2956" w:rsidRDefault="009F0FEF">
      <w:pPr>
        <w:pStyle w:val="a5"/>
        <w:ind w:left="1134" w:hanging="1134"/>
        <w:jc w:val="right"/>
      </w:pPr>
      <w:r>
        <w:rPr>
          <w:rFonts w:eastAsia="標楷體"/>
          <w:color w:val="FF0000"/>
          <w:sz w:val="20"/>
          <w:szCs w:val="20"/>
        </w:rPr>
        <w:t>111</w:t>
      </w:r>
      <w:r>
        <w:rPr>
          <w:rFonts w:eastAsia="標楷體"/>
          <w:color w:val="FF0000"/>
          <w:sz w:val="20"/>
          <w:szCs w:val="20"/>
        </w:rPr>
        <w:t>年</w:t>
      </w:r>
      <w:r>
        <w:rPr>
          <w:rFonts w:eastAsia="標楷體"/>
          <w:color w:val="FF0000"/>
          <w:sz w:val="20"/>
          <w:szCs w:val="20"/>
        </w:rPr>
        <w:t>1</w:t>
      </w:r>
      <w:r>
        <w:rPr>
          <w:rFonts w:eastAsia="標楷體"/>
          <w:color w:val="FF0000"/>
          <w:sz w:val="20"/>
          <w:szCs w:val="20"/>
        </w:rPr>
        <w:t>月</w:t>
      </w:r>
      <w:r>
        <w:rPr>
          <w:rFonts w:eastAsia="標楷體"/>
          <w:color w:val="FF0000"/>
          <w:sz w:val="20"/>
          <w:szCs w:val="20"/>
        </w:rPr>
        <w:t>12</w:t>
      </w:r>
      <w:r>
        <w:rPr>
          <w:rFonts w:eastAsia="標楷體"/>
          <w:color w:val="FF0000"/>
          <w:sz w:val="20"/>
          <w:szCs w:val="20"/>
        </w:rPr>
        <w:t>日</w:t>
      </w:r>
      <w:r>
        <w:rPr>
          <w:rFonts w:eastAsia="標楷體"/>
          <w:sz w:val="20"/>
          <w:szCs w:val="20"/>
        </w:rPr>
        <w:t>運動績優生單獨招生委員會通過</w:t>
      </w:r>
    </w:p>
    <w:p w:rsidR="003C2956" w:rsidRDefault="009F0FEF">
      <w:pPr>
        <w:pStyle w:val="a5"/>
      </w:pPr>
      <w:r>
        <w:rPr>
          <w:rFonts w:eastAsia="標楷體"/>
        </w:rPr>
        <w:t>一、本規定依據中等以上學校運動成績優良學生升學輔導辦法第</w:t>
      </w:r>
      <w:r>
        <w:rPr>
          <w:rFonts w:eastAsia="標楷體"/>
        </w:rPr>
        <w:t>19</w:t>
      </w:r>
      <w:r>
        <w:rPr>
          <w:rFonts w:eastAsia="標楷體"/>
        </w:rPr>
        <w:t>條第</w:t>
      </w:r>
      <w:r>
        <w:rPr>
          <w:rFonts w:eastAsia="標楷體"/>
        </w:rPr>
        <w:t>1</w:t>
      </w:r>
      <w:r>
        <w:rPr>
          <w:rFonts w:eastAsia="標楷體"/>
        </w:rPr>
        <w:t>項訂定之。</w:t>
      </w:r>
    </w:p>
    <w:p w:rsidR="003C2956" w:rsidRDefault="009F0FEF">
      <w:pPr>
        <w:pStyle w:val="a5"/>
        <w:ind w:left="943" w:hanging="943"/>
      </w:pPr>
      <w:r>
        <w:rPr>
          <w:rFonts w:eastAsia="標楷體"/>
        </w:rPr>
        <w:t>二、本校應組成「運動績優生單獨招生委員會」</w:t>
      </w:r>
      <w:r>
        <w:rPr>
          <w:rFonts w:eastAsia="標楷體"/>
          <w:w w:val="90"/>
        </w:rPr>
        <w:t>，委員含校長、祕書、教務主任、學務主任、總務主任、輔</w:t>
      </w:r>
    </w:p>
    <w:p w:rsidR="003C2956" w:rsidRDefault="009F0FEF">
      <w:pPr>
        <w:pStyle w:val="a5"/>
        <w:ind w:left="530"/>
        <w:rPr>
          <w:rFonts w:eastAsia="標楷體"/>
          <w:w w:val="90"/>
        </w:rPr>
      </w:pPr>
      <w:r>
        <w:rPr>
          <w:rFonts w:eastAsia="標楷體"/>
          <w:w w:val="90"/>
        </w:rPr>
        <w:t>導主任、圖書館主任、人事主任、主計主任、體育組長、各學科召集人及教師會會長，共同擬定招生簡章，並秉公平、公正、公開原則辦理招生事宜，並處理招生各種申訴及緊急事件。</w:t>
      </w:r>
    </w:p>
    <w:p w:rsidR="003C2956" w:rsidRDefault="009F0FEF">
      <w:pPr>
        <w:pStyle w:val="a5"/>
        <w:ind w:left="480" w:hanging="480"/>
        <w:rPr>
          <w:rFonts w:eastAsia="標楷體"/>
        </w:rPr>
      </w:pPr>
      <w:r>
        <w:rPr>
          <w:rFonts w:eastAsia="標楷體"/>
        </w:rPr>
        <w:t>三、招生運動種類及名額：</w:t>
      </w:r>
    </w:p>
    <w:p w:rsidR="003C2956" w:rsidRDefault="009F0FEF">
      <w:pPr>
        <w:pStyle w:val="a5"/>
        <w:ind w:firstLine="480"/>
        <w:rPr>
          <w:rFonts w:eastAsia="標楷體"/>
        </w:rPr>
      </w:pPr>
      <w:r>
        <w:rPr>
          <w:rFonts w:eastAsia="標楷體"/>
        </w:rPr>
        <w:t>(</w:t>
      </w:r>
      <w:r>
        <w:rPr>
          <w:rFonts w:eastAsia="標楷體"/>
        </w:rPr>
        <w:t>一</w:t>
      </w:r>
      <w:r>
        <w:rPr>
          <w:rFonts w:eastAsia="標楷體"/>
        </w:rPr>
        <w:t>)</w:t>
      </w:r>
      <w:r>
        <w:rPr>
          <w:rFonts w:eastAsia="標楷體"/>
        </w:rPr>
        <w:t>依教育部核定之運動種類及名額辦理，並明訂於招生簡章。</w:t>
      </w:r>
    </w:p>
    <w:p w:rsidR="003C2956" w:rsidRDefault="009F0FEF">
      <w:pPr>
        <w:pStyle w:val="a5"/>
        <w:ind w:left="840" w:hanging="360"/>
        <w:rPr>
          <w:rFonts w:eastAsia="標楷體"/>
        </w:rPr>
      </w:pPr>
      <w:r>
        <w:rPr>
          <w:rFonts w:eastAsia="標楷體"/>
        </w:rPr>
        <w:t>(</w:t>
      </w:r>
      <w:r>
        <w:rPr>
          <w:rFonts w:eastAsia="標楷體"/>
        </w:rPr>
        <w:t>二</w:t>
      </w:r>
      <w:r>
        <w:rPr>
          <w:rFonts w:eastAsia="標楷體"/>
        </w:rPr>
        <w:t>)</w:t>
      </w:r>
      <w:r>
        <w:rPr>
          <w:rFonts w:eastAsia="標楷體"/>
        </w:rPr>
        <w:t>本入學管道以內含於主管教育行政機關核定招生名額內之名額，未招滿或錄取學生未報到時，其名額得繼續辦理單獨招生續招。</w:t>
      </w:r>
    </w:p>
    <w:p w:rsidR="003C2956" w:rsidRDefault="009F0FEF">
      <w:pPr>
        <w:pStyle w:val="a5"/>
        <w:ind w:left="480" w:hanging="480"/>
      </w:pPr>
      <w:r>
        <w:rPr>
          <w:rFonts w:eastAsia="標楷體"/>
        </w:rPr>
        <w:t>四、報考資格為運動成績符合「中等以上學校運動成績優良學生升學輔導辦法」之成績規定；或對招生種類之運動具有實際比賽經驗者。</w:t>
      </w:r>
    </w:p>
    <w:p w:rsidR="003C2956" w:rsidRDefault="009F0FEF">
      <w:pPr>
        <w:pStyle w:val="a5"/>
        <w:ind w:left="684" w:hanging="684"/>
        <w:rPr>
          <w:rFonts w:eastAsia="標楷體"/>
        </w:rPr>
      </w:pPr>
      <w:r>
        <w:rPr>
          <w:rFonts w:eastAsia="標楷體"/>
        </w:rPr>
        <w:t>五、招生方式：</w:t>
      </w:r>
    </w:p>
    <w:p w:rsidR="003C2956" w:rsidRDefault="009F0FEF">
      <w:pPr>
        <w:pStyle w:val="a5"/>
        <w:ind w:left="684" w:hanging="204"/>
        <w:rPr>
          <w:rFonts w:eastAsia="標楷體"/>
        </w:rPr>
      </w:pPr>
      <w:r>
        <w:rPr>
          <w:rFonts w:eastAsia="標楷體"/>
        </w:rPr>
        <w:t>(</w:t>
      </w:r>
      <w:r>
        <w:rPr>
          <w:rFonts w:eastAsia="標楷體"/>
        </w:rPr>
        <w:t>一</w:t>
      </w:r>
      <w:r>
        <w:rPr>
          <w:rFonts w:eastAsia="標楷體"/>
        </w:rPr>
        <w:t>)</w:t>
      </w:r>
      <w:r>
        <w:rPr>
          <w:rFonts w:eastAsia="標楷體"/>
        </w:rPr>
        <w:t>採以術科測驗之甄選入學方式辦理。</w:t>
      </w:r>
    </w:p>
    <w:p w:rsidR="003C2956" w:rsidRDefault="009F0FEF">
      <w:pPr>
        <w:pStyle w:val="a5"/>
        <w:ind w:left="684" w:hanging="204"/>
        <w:rPr>
          <w:rFonts w:eastAsia="標楷體"/>
        </w:rPr>
      </w:pPr>
      <w:r>
        <w:rPr>
          <w:rFonts w:eastAsia="標楷體"/>
        </w:rPr>
        <w:t>(</w:t>
      </w:r>
      <w:r>
        <w:rPr>
          <w:rFonts w:eastAsia="標楷體"/>
        </w:rPr>
        <w:t>二</w:t>
      </w:r>
      <w:r>
        <w:rPr>
          <w:rFonts w:eastAsia="標楷體"/>
        </w:rPr>
        <w:t>)</w:t>
      </w:r>
      <w:r>
        <w:rPr>
          <w:rFonts w:eastAsia="標楷體"/>
        </w:rPr>
        <w:t>需將術科測驗項目、測驗計分方式及分數比例明訂於簡章。</w:t>
      </w:r>
    </w:p>
    <w:p w:rsidR="003C2956" w:rsidRDefault="009F0FEF">
      <w:pPr>
        <w:pStyle w:val="a5"/>
        <w:ind w:left="684" w:hanging="204"/>
        <w:rPr>
          <w:rFonts w:eastAsia="標楷體"/>
        </w:rPr>
      </w:pPr>
      <w:r>
        <w:rPr>
          <w:rFonts w:eastAsia="標楷體"/>
        </w:rPr>
        <w:t>(</w:t>
      </w:r>
      <w:r>
        <w:rPr>
          <w:rFonts w:eastAsia="標楷體"/>
        </w:rPr>
        <w:t>三</w:t>
      </w:r>
      <w:r>
        <w:rPr>
          <w:rFonts w:eastAsia="標楷體"/>
        </w:rPr>
        <w:t>)</w:t>
      </w:r>
      <w:r>
        <w:rPr>
          <w:rFonts w:eastAsia="標楷體"/>
        </w:rPr>
        <w:t>術科測驗應製作詳細測驗成績之文字記錄，必要時得將測驗過程以錄影方式記錄。</w:t>
      </w:r>
    </w:p>
    <w:p w:rsidR="003C2956" w:rsidRDefault="009F0FEF">
      <w:pPr>
        <w:pStyle w:val="a5"/>
        <w:ind w:left="924" w:hanging="444"/>
        <w:rPr>
          <w:rFonts w:eastAsia="標楷體"/>
        </w:rPr>
      </w:pPr>
      <w:r>
        <w:rPr>
          <w:rFonts w:eastAsia="標楷體"/>
        </w:rPr>
        <w:t>(</w:t>
      </w:r>
      <w:r>
        <w:rPr>
          <w:rFonts w:eastAsia="標楷體"/>
        </w:rPr>
        <w:t>四</w:t>
      </w:r>
      <w:r>
        <w:rPr>
          <w:rFonts w:eastAsia="標楷體"/>
        </w:rPr>
        <w:t>)</w:t>
      </w:r>
      <w:r>
        <w:rPr>
          <w:rFonts w:eastAsia="標楷體"/>
        </w:rPr>
        <w:t>文字記錄應於招</w:t>
      </w:r>
      <w:r>
        <w:rPr>
          <w:rFonts w:eastAsia="標楷體"/>
        </w:rPr>
        <w:t>生委員會決定錄取名單前完成。對評分成績特優或特低者，應於評分表件中註明理由。</w:t>
      </w:r>
    </w:p>
    <w:p w:rsidR="003C2956" w:rsidRDefault="009F0FEF">
      <w:pPr>
        <w:pStyle w:val="a5"/>
        <w:rPr>
          <w:rFonts w:eastAsia="標楷體"/>
        </w:rPr>
      </w:pPr>
      <w:r>
        <w:rPr>
          <w:rFonts w:eastAsia="標楷體"/>
        </w:rPr>
        <w:t>六、錄取方式及成績複查：</w:t>
      </w:r>
    </w:p>
    <w:p w:rsidR="003C2956" w:rsidRDefault="009F0FEF">
      <w:pPr>
        <w:pStyle w:val="a5"/>
        <w:ind w:firstLine="480"/>
        <w:rPr>
          <w:rFonts w:eastAsia="標楷體"/>
        </w:rPr>
      </w:pPr>
      <w:r>
        <w:rPr>
          <w:rFonts w:eastAsia="標楷體"/>
        </w:rPr>
        <w:t>(</w:t>
      </w:r>
      <w:r>
        <w:rPr>
          <w:rFonts w:eastAsia="標楷體"/>
        </w:rPr>
        <w:t>一</w:t>
      </w:r>
      <w:r>
        <w:rPr>
          <w:rFonts w:eastAsia="標楷體"/>
        </w:rPr>
        <w:t>)</w:t>
      </w:r>
      <w:r>
        <w:rPr>
          <w:rFonts w:eastAsia="標楷體"/>
        </w:rPr>
        <w:t>本委員會應依術科測驗項目、測驗計分方式及分數比例，決定錄取標準，並明訂於簡章中。</w:t>
      </w:r>
    </w:p>
    <w:p w:rsidR="003C2956" w:rsidRDefault="009F0FEF">
      <w:pPr>
        <w:pStyle w:val="a5"/>
        <w:ind w:left="960" w:hanging="960"/>
        <w:rPr>
          <w:rFonts w:eastAsia="標楷體"/>
        </w:rPr>
      </w:pPr>
      <w:r>
        <w:rPr>
          <w:rFonts w:eastAsia="標楷體"/>
        </w:rPr>
        <w:t>(</w:t>
      </w:r>
      <w:r>
        <w:rPr>
          <w:rFonts w:eastAsia="標楷體"/>
        </w:rPr>
        <w:t>二</w:t>
      </w:r>
      <w:r>
        <w:rPr>
          <w:rFonts w:eastAsia="標楷體"/>
        </w:rPr>
        <w:t>)</w:t>
      </w:r>
      <w:r>
        <w:rPr>
          <w:rFonts w:eastAsia="標楷體"/>
        </w:rPr>
        <w:t>本考試得列備取生，考生成績以總成績排序，於錄取標準以上且於招生名額內者為錄取；未達錄取標準或成績排序達招生名額之外者，不予錄取。</w:t>
      </w:r>
    </w:p>
    <w:p w:rsidR="003C2956" w:rsidRDefault="009F0FEF">
      <w:pPr>
        <w:pStyle w:val="a5"/>
        <w:ind w:left="960" w:hanging="960"/>
        <w:rPr>
          <w:rFonts w:eastAsia="標楷體"/>
        </w:rPr>
      </w:pPr>
      <w:r>
        <w:rPr>
          <w:rFonts w:eastAsia="標楷體"/>
        </w:rPr>
        <w:t>(</w:t>
      </w:r>
      <w:r>
        <w:rPr>
          <w:rFonts w:eastAsia="標楷體"/>
        </w:rPr>
        <w:t>三</w:t>
      </w:r>
      <w:r>
        <w:rPr>
          <w:rFonts w:eastAsia="標楷體"/>
        </w:rPr>
        <w:t>)</w:t>
      </w:r>
      <w:r>
        <w:rPr>
          <w:rFonts w:eastAsia="標楷體"/>
        </w:rPr>
        <w:t>考生總成績相同者，依簡章所定之參酌順序，依次比較考生成績以決定錄取優先順序。同分比序原則應詳載於招生簡章。</w:t>
      </w:r>
    </w:p>
    <w:p w:rsidR="003C2956" w:rsidRDefault="009F0FEF">
      <w:pPr>
        <w:pStyle w:val="a5"/>
        <w:rPr>
          <w:rFonts w:eastAsia="標楷體"/>
        </w:rPr>
      </w:pPr>
      <w:r>
        <w:rPr>
          <w:rFonts w:eastAsia="標楷體"/>
        </w:rPr>
        <w:t>(</w:t>
      </w:r>
      <w:r>
        <w:rPr>
          <w:rFonts w:eastAsia="標楷體"/>
        </w:rPr>
        <w:t>四</w:t>
      </w:r>
      <w:r>
        <w:rPr>
          <w:rFonts w:eastAsia="標楷體"/>
        </w:rPr>
        <w:t>)</w:t>
      </w:r>
      <w:r>
        <w:rPr>
          <w:rFonts w:eastAsia="標楷體"/>
        </w:rPr>
        <w:t>考生得於放榜翌日起三日內，向學校「運動績優生單獨招生委員會」提出成績複查。</w:t>
      </w:r>
    </w:p>
    <w:p w:rsidR="003C2956" w:rsidRDefault="009F0FEF">
      <w:pPr>
        <w:pStyle w:val="a5"/>
        <w:rPr>
          <w:rFonts w:eastAsia="標楷體"/>
        </w:rPr>
      </w:pPr>
      <w:r>
        <w:rPr>
          <w:rFonts w:eastAsia="標楷體"/>
        </w:rPr>
        <w:t>七、放棄聲明書：</w:t>
      </w:r>
    </w:p>
    <w:p w:rsidR="003C2956" w:rsidRDefault="009F0FEF">
      <w:pPr>
        <w:pStyle w:val="a5"/>
        <w:ind w:left="960" w:hanging="960"/>
        <w:rPr>
          <w:rFonts w:eastAsia="標楷體"/>
        </w:rPr>
      </w:pPr>
      <w:r>
        <w:rPr>
          <w:rFonts w:eastAsia="標楷體"/>
        </w:rPr>
        <w:lastRenderedPageBreak/>
        <w:t>(</w:t>
      </w:r>
      <w:r>
        <w:rPr>
          <w:rFonts w:eastAsia="標楷體"/>
        </w:rPr>
        <w:t>一</w:t>
      </w:r>
      <w:r>
        <w:rPr>
          <w:rFonts w:eastAsia="標楷體"/>
        </w:rPr>
        <w:t>)</w:t>
      </w:r>
      <w:r>
        <w:rPr>
          <w:rFonts w:eastAsia="標楷體"/>
        </w:rPr>
        <w:t>經錄取之考生如欲放棄錄取資格參加其他入學管道者，應於簡章規定期限內，填具放棄錄取資格聲明書，放棄錄取資格，始可參加其他入學管道。</w:t>
      </w:r>
    </w:p>
    <w:p w:rsidR="003C2956" w:rsidRDefault="009F0FEF">
      <w:pPr>
        <w:pStyle w:val="a5"/>
        <w:ind w:left="960" w:hanging="960"/>
        <w:rPr>
          <w:rFonts w:eastAsia="標楷體"/>
        </w:rPr>
      </w:pPr>
      <w:r>
        <w:rPr>
          <w:rFonts w:eastAsia="標楷體"/>
        </w:rPr>
        <w:t>(</w:t>
      </w:r>
      <w:r>
        <w:rPr>
          <w:rFonts w:eastAsia="標楷體"/>
        </w:rPr>
        <w:t>二</w:t>
      </w:r>
      <w:r>
        <w:rPr>
          <w:rFonts w:eastAsia="標楷體"/>
        </w:rPr>
        <w:t>)</w:t>
      </w:r>
      <w:r>
        <w:rPr>
          <w:rFonts w:eastAsia="標楷體"/>
        </w:rPr>
        <w:t>錄取且已完成報到之學生不得再報名參加其他招生入學管道，經查證屬實者，報請主管教育行政機關取消報到後所參加其他招生入學管道考試之錄取資格。</w:t>
      </w:r>
    </w:p>
    <w:p w:rsidR="003C2956" w:rsidRDefault="009F0FEF">
      <w:pPr>
        <w:pStyle w:val="a5"/>
        <w:ind w:left="480" w:hanging="480"/>
        <w:rPr>
          <w:rFonts w:eastAsia="標楷體"/>
        </w:rPr>
      </w:pPr>
      <w:r>
        <w:rPr>
          <w:rFonts w:eastAsia="標楷體"/>
        </w:rPr>
        <w:t>八、本委員會辦理試務工作時，應妥慎處理並訂定其利害關係者之迴避原則。參與試務人員如為報考學生三親等以內親屬時，應自行申請迴避。</w:t>
      </w:r>
    </w:p>
    <w:p w:rsidR="003C2956" w:rsidRDefault="009F0FEF">
      <w:pPr>
        <w:pStyle w:val="a5"/>
        <w:ind w:left="480" w:hanging="480"/>
        <w:rPr>
          <w:rFonts w:eastAsia="標楷體"/>
        </w:rPr>
      </w:pPr>
      <w:r>
        <w:rPr>
          <w:rFonts w:eastAsia="標楷體"/>
        </w:rPr>
        <w:t>九、所有應</w:t>
      </w:r>
      <w:r>
        <w:rPr>
          <w:rFonts w:eastAsia="標楷體"/>
        </w:rPr>
        <w:t>試評分資料須妥予保存一年。但依規定提起申訴者，應保存至申訴程序結束或行政救濟程序終結時為止。</w:t>
      </w:r>
    </w:p>
    <w:p w:rsidR="003C2956" w:rsidRDefault="009F0FEF">
      <w:pPr>
        <w:pStyle w:val="a5"/>
        <w:ind w:left="480" w:hanging="480"/>
        <w:rPr>
          <w:rFonts w:eastAsia="標楷體"/>
        </w:rPr>
      </w:pPr>
      <w:r>
        <w:rPr>
          <w:rFonts w:eastAsia="標楷體"/>
        </w:rPr>
        <w:t>十、其他未盡事宜，除依招生簡章規定辦理外，悉依相關法令規章處理之。</w:t>
      </w:r>
    </w:p>
    <w:p w:rsidR="003C2956" w:rsidRDefault="009F0FEF">
      <w:pPr>
        <w:pStyle w:val="a5"/>
      </w:pPr>
      <w:r>
        <w:rPr>
          <w:rFonts w:eastAsia="標楷體"/>
        </w:rPr>
        <w:t>十一、</w:t>
      </w:r>
      <w:r w:rsidR="003C1547" w:rsidRPr="003C1547">
        <w:rPr>
          <w:rFonts w:eastAsia="標楷體" w:hint="eastAsia"/>
        </w:rPr>
        <w:t>本規定經運動績優單獨招生委員會通過，報請臺北市政府教育局核可後實施，修正時亦同</w:t>
      </w:r>
      <w:r>
        <w:rPr>
          <w:rFonts w:eastAsia="標楷體"/>
        </w:rPr>
        <w:t>。</w:t>
      </w:r>
    </w:p>
    <w:sectPr w:rsidR="003C2956" w:rsidSect="003C2956">
      <w:pgSz w:w="11906" w:h="16838"/>
      <w:pgMar w:top="567" w:right="567" w:bottom="567" w:left="567" w:header="0" w:footer="0" w:gutter="0"/>
      <w:cols w:space="720"/>
      <w:formProt w:val="0"/>
      <w:docGrid w:type="lines" w:linePitch="600" w:charSpace="-20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EF" w:rsidRDefault="009F0FEF" w:rsidP="003C1547">
      <w:r>
        <w:separator/>
      </w:r>
    </w:p>
  </w:endnote>
  <w:endnote w:type="continuationSeparator" w:id="1">
    <w:p w:rsidR="009F0FEF" w:rsidRDefault="009F0FEF" w:rsidP="003C1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EF" w:rsidRDefault="009F0FEF" w:rsidP="003C1547">
      <w:r>
        <w:separator/>
      </w:r>
    </w:p>
  </w:footnote>
  <w:footnote w:type="continuationSeparator" w:id="1">
    <w:p w:rsidR="009F0FEF" w:rsidRDefault="009F0FEF" w:rsidP="003C1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autoHyphenation/>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3C2956"/>
    <w:rsid w:val="003C1547"/>
    <w:rsid w:val="003C2956"/>
    <w:rsid w:val="009F0F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3C2956"/>
    <w:rPr>
      <w:kern w:val="2"/>
    </w:rPr>
  </w:style>
  <w:style w:type="character" w:customStyle="1" w:styleId="a4">
    <w:name w:val="頁尾 字元"/>
    <w:qFormat/>
    <w:rsid w:val="003C2956"/>
    <w:rPr>
      <w:kern w:val="2"/>
    </w:rPr>
  </w:style>
  <w:style w:type="paragraph" w:styleId="a5">
    <w:name w:val="Body Text"/>
    <w:rsid w:val="003C2956"/>
    <w:pPr>
      <w:widowControl w:val="0"/>
      <w:suppressAutoHyphens/>
    </w:pPr>
    <w:rPr>
      <w:kern w:val="2"/>
      <w:sz w:val="24"/>
      <w:szCs w:val="24"/>
    </w:rPr>
  </w:style>
  <w:style w:type="paragraph" w:customStyle="1" w:styleId="a6">
    <w:name w:val="頁首與頁尾"/>
    <w:basedOn w:val="a"/>
    <w:qFormat/>
    <w:rsid w:val="003C2956"/>
    <w:pPr>
      <w:suppressLineNumbers/>
      <w:tabs>
        <w:tab w:val="center" w:pos="4819"/>
        <w:tab w:val="right" w:pos="9638"/>
      </w:tabs>
    </w:pPr>
  </w:style>
  <w:style w:type="paragraph" w:customStyle="1" w:styleId="Header">
    <w:name w:val="Header"/>
    <w:basedOn w:val="a5"/>
    <w:rsid w:val="003C2956"/>
    <w:pPr>
      <w:tabs>
        <w:tab w:val="center" w:pos="4153"/>
        <w:tab w:val="right" w:pos="8306"/>
      </w:tabs>
      <w:snapToGrid w:val="0"/>
    </w:pPr>
    <w:rPr>
      <w:sz w:val="20"/>
      <w:szCs w:val="20"/>
    </w:rPr>
  </w:style>
  <w:style w:type="paragraph" w:customStyle="1" w:styleId="Footer">
    <w:name w:val="Footer"/>
    <w:basedOn w:val="a5"/>
    <w:rsid w:val="003C2956"/>
    <w:pPr>
      <w:tabs>
        <w:tab w:val="center" w:pos="4153"/>
        <w:tab w:val="right" w:pos="8306"/>
      </w:tabs>
      <w:snapToGrid w:val="0"/>
    </w:pPr>
    <w:rPr>
      <w:sz w:val="20"/>
      <w:szCs w:val="20"/>
    </w:rPr>
  </w:style>
  <w:style w:type="paragraph" w:styleId="a7">
    <w:name w:val="header"/>
    <w:basedOn w:val="a"/>
    <w:link w:val="1"/>
    <w:uiPriority w:val="99"/>
    <w:semiHidden/>
    <w:unhideWhenUsed/>
    <w:rsid w:val="003C1547"/>
    <w:pPr>
      <w:tabs>
        <w:tab w:val="center" w:pos="4153"/>
        <w:tab w:val="right" w:pos="8306"/>
      </w:tabs>
      <w:snapToGrid w:val="0"/>
    </w:pPr>
  </w:style>
  <w:style w:type="character" w:customStyle="1" w:styleId="1">
    <w:name w:val="頁首 字元1"/>
    <w:basedOn w:val="a0"/>
    <w:link w:val="a7"/>
    <w:uiPriority w:val="99"/>
    <w:semiHidden/>
    <w:rsid w:val="003C1547"/>
  </w:style>
  <w:style w:type="paragraph" w:styleId="a8">
    <w:name w:val="footer"/>
    <w:basedOn w:val="a"/>
    <w:link w:val="10"/>
    <w:uiPriority w:val="99"/>
    <w:semiHidden/>
    <w:unhideWhenUsed/>
    <w:rsid w:val="003C1547"/>
    <w:pPr>
      <w:tabs>
        <w:tab w:val="center" w:pos="4153"/>
        <w:tab w:val="right" w:pos="8306"/>
      </w:tabs>
      <w:snapToGrid w:val="0"/>
    </w:pPr>
  </w:style>
  <w:style w:type="character" w:customStyle="1" w:styleId="10">
    <w:name w:val="頁尾 字元1"/>
    <w:basedOn w:val="a0"/>
    <w:link w:val="a8"/>
    <w:uiPriority w:val="99"/>
    <w:semiHidden/>
    <w:rsid w:val="003C15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國立中央大學附屬中壢高級中學非學校型態實驗教育校內審查辦法</dc:title>
  <dc:subject/>
  <dc:creator>mkset</dc:creator>
  <dc:description/>
  <cp:lastModifiedBy>圖書館04</cp:lastModifiedBy>
  <cp:revision>4</cp:revision>
  <dcterms:created xsi:type="dcterms:W3CDTF">2022-01-06T03:53:00Z</dcterms:created>
  <dcterms:modified xsi:type="dcterms:W3CDTF">2022-02-15T02:24:00Z</dcterms:modified>
  <dc:language>zh-TW</dc:language>
</cp:coreProperties>
</file>